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0ACBDE8B">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6B475C5F">
                <wp:simplePos x="0" y="0"/>
                <wp:positionH relativeFrom="column">
                  <wp:posOffset>492125</wp:posOffset>
                </wp:positionH>
                <wp:positionV relativeFrom="page">
                  <wp:posOffset>3142615</wp:posOffset>
                </wp:positionV>
                <wp:extent cx="9541510" cy="4638675"/>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4638675"/>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766279BF" w14:textId="4747C0ED" w:rsidR="00577572" w:rsidRPr="00577572" w:rsidRDefault="00577572" w:rsidP="00577572">
                            <w:pPr>
                              <w:rPr>
                                <w:rFonts w:ascii="Manrope" w:hAnsi="Manrope"/>
                                <w:color w:val="FFFFFF" w:themeColor="background1"/>
                                <w:lang w:val="en-GB"/>
                              </w:rPr>
                            </w:pPr>
                            <w:r w:rsidRPr="00577572">
                              <w:rPr>
                                <w:rFonts w:ascii="Manrope" w:hAnsi="Manrope"/>
                                <w:color w:val="FFFFFF" w:themeColor="background1"/>
                                <w:lang w:val="en-GB"/>
                              </w:rPr>
                              <w:drawing>
                                <wp:inline distT="0" distB="0" distL="0" distR="0" wp14:anchorId="5F91C5EA" wp14:editId="39BB3DE6">
                                  <wp:extent cx="3148330" cy="2588260"/>
                                  <wp:effectExtent l="0" t="0" r="0" b="2540"/>
                                  <wp:docPr id="1725216459" name="Picture 8"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16459" name="Picture 8" descr="A logo with a bird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8330" cy="2588260"/>
                                          </a:xfrm>
                                          <a:prstGeom prst="rect">
                                            <a:avLst/>
                                          </a:prstGeom>
                                          <a:noFill/>
                                          <a:ln>
                                            <a:noFill/>
                                          </a:ln>
                                        </pic:spPr>
                                      </pic:pic>
                                    </a:graphicData>
                                  </a:graphic>
                                </wp:inline>
                              </w:drawing>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45pt;width:751.3pt;height:365.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4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766279BF" w14:textId="4747C0ED" w:rsidR="00577572" w:rsidRPr="00577572" w:rsidRDefault="00577572" w:rsidP="00577572">
                      <w:pPr>
                        <w:rPr>
                          <w:rFonts w:ascii="Manrope" w:hAnsi="Manrope"/>
                          <w:color w:val="FFFFFF" w:themeColor="background1"/>
                          <w:lang w:val="en-GB"/>
                        </w:rPr>
                      </w:pPr>
                      <w:r w:rsidRPr="00577572">
                        <w:rPr>
                          <w:rFonts w:ascii="Manrope" w:hAnsi="Manrope"/>
                          <w:color w:val="FFFFFF" w:themeColor="background1"/>
                          <w:lang w:val="en-GB"/>
                        </w:rPr>
                        <w:drawing>
                          <wp:inline distT="0" distB="0" distL="0" distR="0" wp14:anchorId="5F91C5EA" wp14:editId="39BB3DE6">
                            <wp:extent cx="3148330" cy="2588260"/>
                            <wp:effectExtent l="0" t="0" r="0" b="2540"/>
                            <wp:docPr id="1725216459" name="Picture 8"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16459" name="Picture 8" descr="A logo with a bird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8330" cy="2588260"/>
                                    </a:xfrm>
                                    <a:prstGeom prst="rect">
                                      <a:avLst/>
                                    </a:prstGeom>
                                    <a:noFill/>
                                    <a:ln>
                                      <a:noFill/>
                                    </a:ln>
                                  </pic:spPr>
                                </pic:pic>
                              </a:graphicData>
                            </a:graphic>
                          </wp:inline>
                        </w:drawing>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3"/>
          <w:footerReference w:type="default" r:id="rId14"/>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proofErr w:type="spellStart"/>
      <w:r w:rsidRPr="003214DD">
        <w:rPr>
          <w:rFonts w:ascii="Arial" w:hAnsi="Arial" w:cs="Arial"/>
        </w:rPr>
        <w:t>Behaviour</w:t>
      </w:r>
      <w:proofErr w:type="spellEnd"/>
      <w:r w:rsidRPr="003214DD">
        <w:rPr>
          <w:rFonts w:ascii="Arial" w:hAnsi="Arial" w:cs="Arial"/>
        </w:rPr>
        <w:t xml:space="preserve">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5"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w:t>
      </w:r>
      <w:proofErr w:type="spellStart"/>
      <w:r w:rsidRPr="003214DD">
        <w:rPr>
          <w:rFonts w:ascii="Arial" w:hAnsi="Arial" w:cs="Arial"/>
        </w:rPr>
        <w:t>Behaviour</w:t>
      </w:r>
      <w:proofErr w:type="spellEnd"/>
      <w:r w:rsidRPr="003214DD">
        <w:rPr>
          <w:rFonts w:ascii="Arial" w:hAnsi="Arial" w:cs="Arial"/>
        </w:rPr>
        <w:t xml:space="preserve">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6"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7"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8"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9"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20"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1"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2"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3"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5"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 xml:space="preserve">This is </w:t>
      </w:r>
      <w:proofErr w:type="gramStart"/>
      <w:r w:rsidRPr="00C96582">
        <w:rPr>
          <w:rFonts w:ascii="Arial" w:hAnsi="Arial" w:cs="Arial"/>
          <w:lang w:val="en-GB"/>
        </w:rPr>
        <w:t>in order to</w:t>
      </w:r>
      <w:proofErr w:type="gramEnd"/>
      <w:r w:rsidRPr="00C96582">
        <w:rPr>
          <w:rFonts w:ascii="Arial" w:hAnsi="Arial" w:cs="Arial"/>
          <w:lang w:val="en-GB"/>
        </w:rPr>
        <w:t xml:space="preserve">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Where relevant, any social worker and VSH will </w:t>
      </w:r>
      <w:proofErr w:type="gramStart"/>
      <w:r w:rsidRPr="00C96582">
        <w:rPr>
          <w:rFonts w:ascii="Arial" w:hAnsi="Arial" w:cs="Arial"/>
          <w:lang w:val="en-GB"/>
        </w:rPr>
        <w:t>notified</w:t>
      </w:r>
      <w:proofErr w:type="gramEnd"/>
      <w:r w:rsidRPr="00C96582">
        <w:rPr>
          <w:rFonts w:ascii="Arial" w:hAnsi="Arial" w:cs="Arial"/>
          <w:lang w:val="en-GB"/>
        </w:rPr>
        <w:t xml:space="preserve">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t>
      </w:r>
      <w:proofErr w:type="gramStart"/>
      <w:r w:rsidRPr="003214DD">
        <w:rPr>
          <w:rFonts w:ascii="Arial" w:hAnsi="Arial" w:cs="Arial"/>
          <w:lang w:val="en-GB"/>
        </w:rPr>
        <w:t>whether or not</w:t>
      </w:r>
      <w:proofErr w:type="gramEnd"/>
      <w:r w:rsidRPr="003214DD">
        <w:rPr>
          <w:rFonts w:ascii="Arial" w:hAnsi="Arial" w:cs="Arial"/>
          <w:lang w:val="en-GB"/>
        </w:rPr>
        <w:t xml:space="preserve">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BAF9AA1">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6635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5805623" o:spid="_x0000_i1025" type="#_x0000_t75" style="width:6.75pt;height:10.5pt;visibility:visible;mso-wrap-style:square">
            <v:imagedata r:id="rId1" o:title=""/>
          </v:shape>
        </w:pict>
      </mc:Choice>
      <mc:Fallback>
        <w:drawing>
          <wp:inline distT="0" distB="0" distL="0" distR="0" wp14:anchorId="1FB514F6">
            <wp:extent cx="85725" cy="133350"/>
            <wp:effectExtent l="0" t="0" r="0" b="0"/>
            <wp:docPr id="1545805623" name="Picture 154580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2C55D1"/>
    <w:rsid w:val="003214DD"/>
    <w:rsid w:val="00331417"/>
    <w:rsid w:val="003568A1"/>
    <w:rsid w:val="00396A5B"/>
    <w:rsid w:val="003D5418"/>
    <w:rsid w:val="00426315"/>
    <w:rsid w:val="004465CA"/>
    <w:rsid w:val="004472FF"/>
    <w:rsid w:val="004547D5"/>
    <w:rsid w:val="00510FCA"/>
    <w:rsid w:val="00554249"/>
    <w:rsid w:val="005704FD"/>
    <w:rsid w:val="00577572"/>
    <w:rsid w:val="005C4D6E"/>
    <w:rsid w:val="005F28BF"/>
    <w:rsid w:val="005F313C"/>
    <w:rsid w:val="006A1176"/>
    <w:rsid w:val="006A3280"/>
    <w:rsid w:val="006F023D"/>
    <w:rsid w:val="00816D0F"/>
    <w:rsid w:val="00835406"/>
    <w:rsid w:val="00892E27"/>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836">
      <w:bodyDiv w:val="1"/>
      <w:marLeft w:val="0"/>
      <w:marRight w:val="0"/>
      <w:marTop w:val="0"/>
      <w:marBottom w:val="0"/>
      <w:divBdr>
        <w:top w:val="none" w:sz="0" w:space="0" w:color="auto"/>
        <w:left w:val="none" w:sz="0" w:space="0" w:color="auto"/>
        <w:bottom w:val="none" w:sz="0" w:space="0" w:color="auto"/>
        <w:right w:val="none" w:sz="0" w:space="0" w:color="auto"/>
      </w:divBdr>
    </w:div>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215239327">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pga/2011/21/contents"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www.legislation.gov.uk/ukpga/1996/56/section/579"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legislation.gov.uk/ukpga/2002/32/section/51A" TargetMode="External"/><Relationship Id="rId25" Type="http://schemas.openxmlformats.org/officeDocument/2006/relationships/hyperlink" Target="https://www.legislation.gov.uk/ukpga/2014/6/contents/enacted"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hyperlink" Target="http://www.legislation.gov.uk/ukpga/2006/40/part/7/chapter/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hyperlink" Target="https://www.gov.uk/government/publications/positive-environments-where-children-can-flourish" TargetMode="External"/><Relationship Id="rId23" Type="http://schemas.openxmlformats.org/officeDocument/2006/relationships/hyperlink" Target="http://www.legislation.gov.uk/uksi/2014/3216/contents/ma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si/2012/103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si/2007/1870/contents/made" TargetMode="External"/><Relationship Id="rId27"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7375802D-789C-4F47-AB22-B7D1056DD82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227C3805-8490-4B73-BC4A-1D29508F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5650</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Faye Causer (Willow Park)</cp:lastModifiedBy>
  <cp:revision>2</cp:revision>
  <dcterms:created xsi:type="dcterms:W3CDTF">2025-03-05T09:35:00Z</dcterms:created>
  <dcterms:modified xsi:type="dcterms:W3CDTF">2025-03-05T09:35:00Z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